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E4" w:rsidRPr="00571603" w:rsidRDefault="00C635E4" w:rsidP="00C635E4">
      <w:pPr>
        <w:spacing w:line="360" w:lineRule="auto"/>
        <w:jc w:val="left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附件二</w:t>
      </w:r>
    </w:p>
    <w:p w:rsidR="006774F3" w:rsidRPr="00812398" w:rsidRDefault="00841C75" w:rsidP="009C1246">
      <w:pPr>
        <w:spacing w:beforeLines="50" w:before="156" w:afterLines="50" w:after="156"/>
        <w:jc w:val="center"/>
        <w:rPr>
          <w:rFonts w:ascii="Times New Roman" w:eastAsia="华文中宋" w:hAnsi="Times New Roman"/>
          <w:color w:val="000000" w:themeColor="text1"/>
          <w:sz w:val="36"/>
          <w:szCs w:val="36"/>
        </w:rPr>
      </w:pPr>
      <w:r w:rsidRPr="00812398">
        <w:rPr>
          <w:rFonts w:ascii="Times New Roman" w:eastAsia="华文中宋" w:hAnsi="Times New Roman"/>
          <w:color w:val="000000" w:themeColor="text1"/>
          <w:sz w:val="36"/>
          <w:szCs w:val="36"/>
        </w:rPr>
        <w:t>“</w:t>
      </w:r>
      <w:r w:rsidR="00D6009E" w:rsidRPr="00812398">
        <w:rPr>
          <w:rFonts w:ascii="Times New Roman" w:eastAsia="华文中宋" w:hAnsi="Times New Roman" w:hint="eastAsia"/>
          <w:color w:val="000000" w:themeColor="text1"/>
          <w:sz w:val="36"/>
          <w:szCs w:val="36"/>
        </w:rPr>
        <w:t>201</w:t>
      </w:r>
      <w:r w:rsidR="00D6009E" w:rsidRPr="00812398">
        <w:rPr>
          <w:rFonts w:ascii="Times New Roman" w:eastAsia="华文中宋" w:hAnsi="Times New Roman"/>
          <w:color w:val="000000" w:themeColor="text1"/>
          <w:sz w:val="36"/>
          <w:szCs w:val="36"/>
        </w:rPr>
        <w:t>9</w:t>
      </w:r>
      <w:r w:rsidR="00E54D5C" w:rsidRPr="00812398">
        <w:rPr>
          <w:rFonts w:ascii="Times New Roman" w:eastAsia="华文中宋" w:hAnsi="Times New Roman" w:hint="eastAsia"/>
          <w:color w:val="000000" w:themeColor="text1"/>
          <w:sz w:val="36"/>
          <w:szCs w:val="36"/>
        </w:rPr>
        <w:t>中国农业机器人大赛</w:t>
      </w:r>
      <w:r w:rsidRPr="00812398">
        <w:rPr>
          <w:rFonts w:ascii="Times New Roman" w:eastAsia="华文中宋" w:hAnsi="Times New Roman"/>
          <w:color w:val="000000" w:themeColor="text1"/>
          <w:sz w:val="36"/>
          <w:szCs w:val="36"/>
        </w:rPr>
        <w:t>”</w:t>
      </w:r>
      <w:r w:rsidR="00E54D5C" w:rsidRPr="00812398">
        <w:rPr>
          <w:rFonts w:ascii="Times New Roman" w:eastAsia="华文中宋" w:hAnsi="Times New Roman" w:hint="eastAsia"/>
          <w:color w:val="000000" w:themeColor="text1"/>
          <w:sz w:val="36"/>
          <w:szCs w:val="36"/>
        </w:rPr>
        <w:t>比赛规则</w:t>
      </w:r>
    </w:p>
    <w:p w:rsidR="006774F3" w:rsidRPr="00812398" w:rsidRDefault="00E54D5C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一、简介</w:t>
      </w:r>
    </w:p>
    <w:p w:rsidR="000C76CC" w:rsidRDefault="00BC532A" w:rsidP="00C92828">
      <w:pPr>
        <w:spacing w:line="48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水果</w:t>
      </w:r>
      <w:r w:rsidR="00C669D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生产</w:t>
      </w:r>
      <w:r w:rsidR="004A52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季节性强，</w:t>
      </w:r>
      <w:r w:rsidR="0048324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人工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采收效率低，劳动强度大</w:t>
      </w:r>
      <w:r w:rsidR="004A52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已成为相关产业发展的瓶颈</w:t>
      </w:r>
      <w:r w:rsidR="004A52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r w:rsidR="00A1587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当前</w:t>
      </w:r>
      <w:r w:rsidR="0048324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</w:t>
      </w:r>
      <w:r w:rsidR="00ED44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实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收获机械化仍是果园生产机械化的薄弱环节，</w:t>
      </w:r>
      <w:r w:rsidR="00ED44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广大果农对先进</w:t>
      </w:r>
      <w:r w:rsidR="000C76C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收获</w:t>
      </w:r>
      <w:r w:rsidR="00ED44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机械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装备</w:t>
      </w:r>
      <w:r w:rsidR="00ED44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需求十分迫切。</w:t>
      </w:r>
      <w:r w:rsidR="00F724E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本次比赛</w:t>
      </w:r>
      <w:r w:rsidR="002767D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</w:t>
      </w:r>
      <w:r w:rsidR="002767D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2018</w:t>
      </w:r>
      <w:r w:rsidR="002767D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中国农业机器人大赛基础上，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聚焦</w:t>
      </w:r>
      <w:r w:rsidR="00ED44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C10330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分类收获和</w:t>
      </w:r>
      <w:r w:rsidR="002767D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协同作业</w:t>
      </w:r>
      <w:r w:rsidR="003C24B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F724E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以</w:t>
      </w:r>
      <w:r w:rsidR="00B6380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实现</w:t>
      </w:r>
      <w:r w:rsidR="008E7F0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高效、智能、</w:t>
      </w:r>
      <w:r w:rsidR="00C916F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自主收获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及仓储</w:t>
      </w:r>
      <w:r w:rsidR="00F724E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为目标</w:t>
      </w:r>
      <w:r w:rsidR="00B6380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2078E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关键</w:t>
      </w:r>
      <w:r w:rsidR="00F724E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点在于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目标</w:t>
      </w:r>
      <w:r w:rsidR="000C76C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识别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、</w:t>
      </w:r>
      <w:r w:rsidR="00B9602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自主导航、机器人协作</w:t>
      </w:r>
      <w:r w:rsidR="008E7F0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以及机构设计</w:t>
      </w:r>
      <w:r w:rsidR="002078E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等</w:t>
      </w:r>
      <w:r w:rsidR="008E7F0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2661E6" w:rsidRDefault="002661E6" w:rsidP="002661E6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2661E6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二、比赛任务</w:t>
      </w:r>
    </w:p>
    <w:p w:rsidR="002661E6" w:rsidRPr="00A2309D" w:rsidRDefault="00A2309D" w:rsidP="00A2309D">
      <w:pPr>
        <w:spacing w:line="48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A2309D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各队机器人的任务是收获在场地内</w:t>
      </w:r>
      <w:r w:rsidRPr="00A2309D">
        <w:rPr>
          <w:rFonts w:ascii="Times New Roman" w:eastAsia="仿宋" w:hAnsi="Times New Roman" w:hint="eastAsia"/>
          <w:color w:val="000000" w:themeColor="text1"/>
          <w:sz w:val="28"/>
          <w:szCs w:val="28"/>
        </w:rPr>
        <w:t>6</w:t>
      </w:r>
      <w:r w:rsidRPr="00A2309D">
        <w:rPr>
          <w:rFonts w:ascii="Times New Roman" w:eastAsia="仿宋" w:hAnsi="Times New Roman" w:hint="eastAsia"/>
          <w:color w:val="000000" w:themeColor="text1"/>
          <w:sz w:val="28"/>
          <w:szCs w:val="28"/>
        </w:rPr>
        <w:t>棵果树上成熟的</w:t>
      </w:r>
      <w:r w:rsidRPr="00A2309D">
        <w:rPr>
          <w:rFonts w:ascii="Times New Roman" w:eastAsia="仿宋" w:hAnsi="Times New Roman" w:hint="eastAsia"/>
          <w:color w:val="000000" w:themeColor="text1"/>
          <w:sz w:val="28"/>
          <w:szCs w:val="28"/>
        </w:rPr>
        <w:t>30</w:t>
      </w:r>
      <w:r w:rsidRPr="00A2309D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个红色果实并将其转送到仓储区。</w:t>
      </w:r>
    </w:p>
    <w:p w:rsidR="006774F3" w:rsidRPr="00812398" w:rsidRDefault="002661E6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三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、比赛场地及器材</w:t>
      </w:r>
    </w:p>
    <w:p w:rsidR="00AC5664" w:rsidRPr="00812398" w:rsidRDefault="002661E6" w:rsidP="00112D2F">
      <w:pPr>
        <w:spacing w:beforeLines="50" w:before="156" w:afterLines="50" w:after="156" w:line="440" w:lineRule="exact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 xml:space="preserve">.1 </w:t>
      </w:r>
      <w:r w:rsidR="00971955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果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园</w:t>
      </w:r>
      <w:r w:rsidR="00AC5664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（比赛场地）（图</w:t>
      </w:r>
      <w:r w:rsidR="00AC5664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1</w:t>
      </w:r>
      <w:r w:rsidR="00AC5664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）</w:t>
      </w:r>
    </w:p>
    <w:p w:rsidR="006774F3" w:rsidRPr="00812398" w:rsidRDefault="00AC5664" w:rsidP="00C92828">
      <w:pPr>
        <w:pStyle w:val="af2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尺寸：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2.4</w:t>
      </w:r>
      <w:r w:rsidR="00994D70"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8E7FA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×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2.44</w:t>
      </w:r>
      <w:r w:rsidR="008E7FA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的矩形场地（由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块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1.2</w:t>
      </w:r>
      <w:r w:rsidR="00994D70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8E7FA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×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2.44</w:t>
      </w:r>
      <w:r w:rsidR="008E7FA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板材拼接而成）</w:t>
      </w:r>
    </w:p>
    <w:p w:rsidR="006774F3" w:rsidRPr="00812398" w:rsidRDefault="00AC5664" w:rsidP="00C92828">
      <w:pPr>
        <w:pStyle w:val="af2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场地板材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材质：中密度板（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18 mm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厚，各</w:t>
      </w:r>
      <w:r w:rsidR="00971955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建材市场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均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有售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</w:p>
    <w:p w:rsidR="006774F3" w:rsidRPr="00812398" w:rsidRDefault="00E54D5C" w:rsidP="00C92828">
      <w:pPr>
        <w:pStyle w:val="af2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</w:t>
      </w:r>
      <w:r w:rsidR="00AC566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围栏：</w:t>
      </w:r>
      <w:r w:rsidR="003D3D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</w:t>
      </w:r>
      <w:r w:rsidR="00AC566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设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四周围栏</w:t>
      </w:r>
      <w:r w:rsidR="00AC566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，材质同场地板材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18 mm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中密度板），高度为</w:t>
      </w:r>
      <w:r w:rsidR="008E7FA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150 m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m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</w:t>
      </w:r>
      <w:r w:rsidR="00AC566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以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</w:t>
      </w:r>
      <w:r w:rsidR="00291D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内表面</w:t>
      </w:r>
      <w:r w:rsidR="002F230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为基准</w:t>
      </w:r>
      <w:r w:rsidR="00AC566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计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</w:p>
    <w:p w:rsidR="006F4A85" w:rsidRPr="00812398" w:rsidRDefault="006F4A85" w:rsidP="00C92828">
      <w:pPr>
        <w:pStyle w:val="af2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场地喷涂颜色：地面和围栏底色均</w:t>
      </w:r>
      <w:r w:rsidR="004B07B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涂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为白色（多乐士，臻彩木器色漆面漆哑光净味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A815-65203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</w:t>
      </w:r>
    </w:p>
    <w:p w:rsidR="003C14D0" w:rsidRPr="00812398" w:rsidRDefault="000C07FB" w:rsidP="00C92828">
      <w:pPr>
        <w:pStyle w:val="af2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场地环境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：</w:t>
      </w:r>
      <w:r w:rsidR="008278E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场馆室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内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普通照明，</w:t>
      </w:r>
      <w:r w:rsidR="00736AB4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避免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阳光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直射</w:t>
      </w:r>
    </w:p>
    <w:p w:rsidR="006774F3" w:rsidRPr="00812398" w:rsidRDefault="002661E6" w:rsidP="00112D2F">
      <w:pPr>
        <w:spacing w:beforeLines="50" w:before="156" w:afterLines="50" w:after="156" w:line="440" w:lineRule="exact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 xml:space="preserve">.2 </w:t>
      </w:r>
      <w:r w:rsidR="00DE7456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机器人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出发</w:t>
      </w:r>
      <w:r w:rsidR="000474F3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返回</w:t>
      </w:r>
      <w:r w:rsidR="00DE7456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及作业区域</w:t>
      </w:r>
    </w:p>
    <w:p w:rsidR="00BB7890" w:rsidRPr="00812398" w:rsidRDefault="00C97B9B" w:rsidP="00C92828">
      <w:pPr>
        <w:spacing w:line="48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整个赛场如图所示分为“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A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区”、“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B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区”和“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C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区”。</w:t>
      </w:r>
      <w:r w:rsidR="003C14D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比赛场地的四个边角</w:t>
      </w:r>
      <w:r w:rsidR="003C14D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分别设</w:t>
      </w:r>
      <w:r w:rsidR="000474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置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400 mm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×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400 mm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的正方形“停车区”，</w:t>
      </w:r>
      <w:r w:rsidR="000474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用于</w:t>
      </w:r>
      <w:r w:rsidR="000474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lastRenderedPageBreak/>
        <w:t>参赛机器人</w:t>
      </w:r>
      <w:r w:rsidR="003C14D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出发</w:t>
      </w:r>
      <w:r w:rsidR="000474F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与返回</w:t>
      </w:r>
      <w:r w:rsidR="003C14D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r w:rsidR="00BB789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比赛场最下方黑色线与场地边缘所围成的</w:t>
      </w:r>
      <w:r w:rsidR="00BB789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BB7890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50</w:t>
      </w:r>
      <w:r w:rsidR="0050293B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0m</w:t>
      </w:r>
      <w:r w:rsidR="00BB7890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m</w:t>
      </w:r>
      <w:r w:rsidR="00BB7890" w:rsidRPr="00812398">
        <w:rPr>
          <w:rFonts w:ascii="Times New Roman" w:eastAsia="仿宋" w:hAnsi="Times New Roman" w:cs="Segoe UI Emoji" w:hint="eastAsia"/>
          <w:color w:val="000000" w:themeColor="text1"/>
          <w:sz w:val="28"/>
          <w:szCs w:val="28"/>
        </w:rPr>
        <w:t>×</w:t>
      </w:r>
      <w:r w:rsidR="00BB7890" w:rsidRPr="00812398">
        <w:rPr>
          <w:rFonts w:ascii="Times New Roman" w:eastAsia="仿宋" w:hAnsi="Times New Roman" w:cs="Segoe UI Emoji" w:hint="eastAsia"/>
          <w:color w:val="000000" w:themeColor="text1"/>
          <w:sz w:val="28"/>
          <w:szCs w:val="28"/>
        </w:rPr>
        <w:t>40</w:t>
      </w:r>
      <w:r w:rsidR="0050293B" w:rsidRPr="00812398">
        <w:rPr>
          <w:rFonts w:ascii="Times New Roman" w:eastAsia="仿宋" w:hAnsi="Times New Roman" w:cs="Segoe UI Emoji"/>
          <w:color w:val="000000" w:themeColor="text1"/>
          <w:sz w:val="28"/>
          <w:szCs w:val="28"/>
        </w:rPr>
        <w:t>0m</w:t>
      </w:r>
      <w:r w:rsidR="00BB7890" w:rsidRPr="00812398">
        <w:rPr>
          <w:rFonts w:ascii="Times New Roman" w:eastAsia="仿宋" w:hAnsi="Times New Roman" w:cs="Segoe UI Emoji" w:hint="eastAsia"/>
          <w:color w:val="000000" w:themeColor="text1"/>
          <w:sz w:val="28"/>
          <w:szCs w:val="28"/>
        </w:rPr>
        <w:t>m</w:t>
      </w:r>
      <w:r w:rsidR="00BB789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矩形区域为“仓储区”。</w:t>
      </w:r>
    </w:p>
    <w:p w:rsidR="006774F3" w:rsidRPr="00812398" w:rsidRDefault="00237D9A" w:rsidP="002C1622">
      <w:pPr>
        <w:jc w:val="center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812398">
        <w:rPr>
          <w:rFonts w:ascii="Times New Roman" w:hAnsi="Times New Roman"/>
          <w:noProof/>
        </w:rPr>
        <w:drawing>
          <wp:inline distT="0" distB="0" distL="0" distR="0" wp14:anchorId="3FFDFAB8" wp14:editId="1BC54FE1">
            <wp:extent cx="5274310" cy="491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F3" w:rsidRPr="00812398" w:rsidRDefault="00E54D5C">
      <w:pPr>
        <w:jc w:val="center"/>
        <w:rPr>
          <w:rFonts w:ascii="Times New Roman" w:eastAsia="宋体" w:hAnsi="Times New Roman"/>
          <w:b/>
          <w:color w:val="000000" w:themeColor="text1"/>
          <w:sz w:val="24"/>
          <w:szCs w:val="24"/>
        </w:rPr>
      </w:pPr>
      <w:r w:rsidRPr="00812398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图</w:t>
      </w:r>
      <w:r w:rsidRPr="00812398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 xml:space="preserve">1 </w:t>
      </w:r>
      <w:r w:rsidRPr="00812398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比赛场地尺寸</w:t>
      </w:r>
      <w:r w:rsidR="00D07576" w:rsidRPr="00812398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及布置简</w:t>
      </w:r>
      <w:r w:rsidRPr="00812398">
        <w:rPr>
          <w:rFonts w:ascii="Times New Roman" w:eastAsia="宋体" w:hAnsi="Times New Roman" w:hint="eastAsia"/>
          <w:b/>
          <w:color w:val="000000" w:themeColor="text1"/>
          <w:sz w:val="24"/>
          <w:szCs w:val="24"/>
        </w:rPr>
        <w:t>图</w:t>
      </w:r>
    </w:p>
    <w:p w:rsidR="006774F3" w:rsidRPr="004D7DEB" w:rsidRDefault="00E54D5C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图示说明：</w:t>
      </w:r>
    </w:p>
    <w:p w:rsidR="006774F3" w:rsidRPr="004D7DEB" w:rsidRDefault="00382F4D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红色</w:t>
      </w:r>
      <w:r w:rsidR="00E54D5C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边框：</w:t>
      </w:r>
      <w:r w:rsidR="002C1622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场地</w:t>
      </w:r>
      <w:r w:rsidR="00E54D5C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围栏</w:t>
      </w:r>
    </w:p>
    <w:p w:rsidR="006774F3" w:rsidRPr="004D7DEB" w:rsidRDefault="00E54D5C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蓝色</w:t>
      </w:r>
      <w:r w:rsidR="008324A9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实线</w:t>
      </w: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：</w:t>
      </w:r>
      <w:r w:rsidR="001A646A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停车</w:t>
      </w: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区</w:t>
      </w:r>
    </w:p>
    <w:p w:rsidR="006774F3" w:rsidRPr="004D7DEB" w:rsidRDefault="00E54D5C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橘色</w:t>
      </w:r>
      <w:r w:rsidR="00971955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区域</w:t>
      </w: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：果树</w:t>
      </w:r>
      <w:r w:rsidR="003C14D0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固定</w:t>
      </w:r>
      <w:r w:rsidR="00971955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放置区</w:t>
      </w:r>
    </w:p>
    <w:p w:rsidR="006774F3" w:rsidRPr="004D7DEB" w:rsidRDefault="00E54D5C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黑色条线：</w:t>
      </w:r>
      <w:r w:rsidR="001A646A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仓储区分界线</w:t>
      </w:r>
      <w:r w:rsidR="00115114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和</w:t>
      </w: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机器人运行参考路径</w:t>
      </w:r>
    </w:p>
    <w:p w:rsidR="0050293B" w:rsidRPr="004D7DEB" w:rsidRDefault="001A646A" w:rsidP="00E371D3">
      <w:pPr>
        <w:spacing w:line="360" w:lineRule="auto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红黄条线：作业</w:t>
      </w:r>
      <w:r w:rsidR="0050293B" w:rsidRPr="004D7DEB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区域分界线</w:t>
      </w:r>
    </w:p>
    <w:p w:rsidR="006774F3" w:rsidRPr="00812398" w:rsidRDefault="002661E6" w:rsidP="00112D2F">
      <w:pPr>
        <w:spacing w:beforeLines="50" w:before="156" w:afterLines="50" w:after="156" w:line="440" w:lineRule="exact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 xml:space="preserve">.3 </w:t>
      </w:r>
      <w:r w:rsidR="006E021D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果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树</w:t>
      </w:r>
    </w:p>
    <w:p w:rsidR="008B63F6" w:rsidRPr="00812398" w:rsidRDefault="009B4649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lastRenderedPageBreak/>
        <w:t>果树为商品拼接</w:t>
      </w:r>
      <w:r w:rsidR="002C162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模型，</w:t>
      </w:r>
      <w:r w:rsidR="008B63F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树枝与树干相互插接，要求以强力胶固定，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参考</w:t>
      </w:r>
      <w:r w:rsidR="00E722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形状及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尺寸如图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所示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共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计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6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棵。</w:t>
      </w:r>
    </w:p>
    <w:p w:rsidR="00D22C40" w:rsidRPr="00812398" w:rsidRDefault="00D22C40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果树底座</w:t>
      </w:r>
      <w:r w:rsidR="00205CC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以双面布基胶带固定于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果园（比赛场地）</w:t>
      </w:r>
      <w:r w:rsidR="00205CC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指定位置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A753D9">
      <w:pPr>
        <w:jc w:val="center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00F33221" wp14:editId="0CD6C235">
            <wp:extent cx="1693468" cy="2880000"/>
            <wp:effectExtent l="0" t="0" r="2540" b="0"/>
            <wp:docPr id="3" name="图片 3" descr="C:\Users\chendu\AppData\Local\Temp\WeChat Files\899755527681061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endu\AppData\Local\Temp\WeChat Files\8997555276810617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6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F3" w:rsidRPr="00812398" w:rsidRDefault="00E54D5C">
      <w:pPr>
        <w:jc w:val="center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图</w:t>
      </w:r>
      <w:r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 xml:space="preserve">2 </w:t>
      </w:r>
      <w:r w:rsidR="006E021D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果</w:t>
      </w:r>
      <w:r w:rsidR="00A753D9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树形状</w:t>
      </w:r>
      <w:r w:rsidR="00BB747E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及尺寸</w:t>
      </w:r>
      <w:r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图</w:t>
      </w:r>
      <w:r w:rsidR="00A753D9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（图中尺寸仅供参考，实际以所购商品为准）</w:t>
      </w:r>
    </w:p>
    <w:p w:rsidR="006774F3" w:rsidRPr="00812398" w:rsidRDefault="002661E6" w:rsidP="00112D2F">
      <w:pPr>
        <w:spacing w:beforeLines="50" w:before="156" w:afterLines="50" w:after="156" w:line="440" w:lineRule="exact"/>
        <w:ind w:firstLineChars="200" w:firstLine="562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 xml:space="preserve">.4 </w:t>
      </w:r>
      <w:r w:rsidR="006E021D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果实</w:t>
      </w:r>
    </w:p>
    <w:p w:rsidR="0052157A" w:rsidRPr="00812398" w:rsidRDefault="0052157A" w:rsidP="00816486">
      <w:pPr>
        <w:spacing w:line="440" w:lineRule="exact"/>
        <w:ind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：</w:t>
      </w:r>
      <w:r w:rsidR="00920C1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指定</w:t>
      </w:r>
      <w:r w:rsidR="00072C7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乒乓球</w:t>
      </w:r>
      <w:r w:rsidR="00A61A3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商品</w:t>
      </w:r>
      <w:r w:rsidR="00072C7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52157A" w:rsidRPr="00812398" w:rsidRDefault="009C2429" w:rsidP="00816486">
      <w:pPr>
        <w:spacing w:line="440" w:lineRule="exact"/>
        <w:ind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52157A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颜色：</w:t>
      </w:r>
      <w:r w:rsidR="00072C7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指定的</w:t>
      </w:r>
      <w:r w:rsidR="0052157A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红色和深绿色</w:t>
      </w:r>
      <w:r w:rsidR="00072C7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r w:rsidR="008106E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红色代表成熟果实，深绿色代表未成熟果实。</w:t>
      </w:r>
    </w:p>
    <w:p w:rsidR="008C2D2B" w:rsidRPr="00812398" w:rsidRDefault="009C2429" w:rsidP="00816486">
      <w:pPr>
        <w:spacing w:line="440" w:lineRule="exact"/>
        <w:ind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固定位置及方法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如图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所示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其中磁铁通过强力胶和树枝相连。</w:t>
      </w:r>
      <w:r w:rsidR="00072C7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每棵</w:t>
      </w: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树上</w:t>
      </w:r>
      <w:r w:rsidR="0037407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吊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挂</w:t>
      </w:r>
      <w:r w:rsidR="00CF7EC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5</w:t>
      </w:r>
      <w:r w:rsidR="00764E91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</w:t>
      </w:r>
      <w:r w:rsidR="00CF7EC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红色果实和</w:t>
      </w:r>
      <w:r w:rsidR="00CF7EC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CF7EC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个深绿色果实</w:t>
      </w:r>
      <w:r w:rsidR="005D79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5D79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5D79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个树枝吊挂</w:t>
      </w:r>
      <w:r w:rsidR="005D79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5D79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个果实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r w:rsidR="00CF7EC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深绿色果实位于</w:t>
      </w:r>
      <w:r w:rsidR="004B5E2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果树</w:t>
      </w:r>
      <w:r w:rsidR="00CF7EC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随机位置。</w:t>
      </w:r>
    </w:p>
    <w:p w:rsidR="008C2D2B" w:rsidRPr="00812398" w:rsidRDefault="009C2429" w:rsidP="00816486">
      <w:pPr>
        <w:spacing w:line="440" w:lineRule="exact"/>
        <w:ind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数量：共</w:t>
      </w:r>
      <w:r w:rsidR="008C2D2B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36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个，其中红色</w:t>
      </w:r>
      <w:r w:rsidR="00CF7EC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30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个，深绿色</w:t>
      </w:r>
      <w:r w:rsidR="00CF7EC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6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个。</w:t>
      </w:r>
    </w:p>
    <w:p w:rsidR="006774F3" w:rsidRPr="00812398" w:rsidRDefault="00A753D9" w:rsidP="00E72229">
      <w:pPr>
        <w:spacing w:afterLines="50" w:after="156"/>
        <w:jc w:val="center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5E510CC" wp14:editId="5FC22129">
            <wp:extent cx="3075922" cy="1800000"/>
            <wp:effectExtent l="0" t="0" r="0" b="0"/>
            <wp:docPr id="4" name="图片 4" descr="C:\Users\chendu\AppData\Local\Temp\WeChat Files\81274712937086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du\AppData\Local\Temp\WeChat Files\812747129370864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F3" w:rsidRPr="00812398" w:rsidRDefault="00E54D5C">
      <w:pPr>
        <w:jc w:val="center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图</w:t>
      </w:r>
      <w:r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 xml:space="preserve">3 </w:t>
      </w:r>
      <w:r w:rsidR="006E021D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果实</w:t>
      </w:r>
      <w:r w:rsidR="00E72229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吊挂</w:t>
      </w:r>
      <w:r w:rsidR="00764E91" w:rsidRPr="00812398">
        <w:rPr>
          <w:rFonts w:ascii="Times New Roman" w:eastAsia="仿宋" w:hAnsi="Times New Roman" w:hint="eastAsia"/>
          <w:b/>
          <w:color w:val="000000" w:themeColor="text1"/>
          <w:sz w:val="24"/>
          <w:szCs w:val="24"/>
        </w:rPr>
        <w:t>示意图</w:t>
      </w:r>
    </w:p>
    <w:p w:rsidR="006774F3" w:rsidRPr="00812398" w:rsidRDefault="002661E6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lastRenderedPageBreak/>
        <w:t>四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、机器人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.1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参赛机器人必须全自主作业，</w:t>
      </w:r>
      <w:r w:rsidR="0055539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具备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自主运动、自主识别、自主</w:t>
      </w:r>
      <w:r w:rsidR="00920A4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收获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和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转运</w:t>
      </w:r>
      <w:r w:rsidR="00920A4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等功能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比赛时，</w:t>
      </w:r>
      <w:r w:rsidR="001C099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禁止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</w:t>
      </w:r>
      <w:r w:rsidR="008C2D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机器人</w:t>
      </w:r>
      <w:r w:rsidR="002378F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收获已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掉落在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场地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面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上的</w:t>
      </w:r>
      <w:r w:rsidR="006E0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.2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比赛过程中禁止使用外部设备（比如手机、平板电脑、笔记本电脑、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Xbox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手柄等）与参赛机器人通讯。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.3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参赛机器人数量不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应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超过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</w:t>
      </w:r>
      <w:r w:rsidR="002E6C2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（可装卸的仓储部件除外）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.4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参赛机器人尺寸</w:t>
      </w:r>
      <w:r w:rsidR="009C242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要求控制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在长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300 mm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×宽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300 mm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×高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300 mm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范围之内（</w:t>
      </w:r>
      <w:r w:rsidR="00337AE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指出发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和结束时</w:t>
      </w:r>
      <w:r w:rsidR="00337AE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的尺寸，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运行</w:t>
      </w:r>
      <w:r w:rsidR="00337AE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和作业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过程中</w:t>
      </w:r>
      <w:r w:rsidR="00337AE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不受此限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）。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.5 </w:t>
      </w:r>
      <w:r w:rsidR="00B75E81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机器人制作成本</w:t>
      </w:r>
      <w:r w:rsidR="00437B6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不</w:t>
      </w:r>
      <w:r w:rsidR="002B212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作</w:t>
      </w:r>
      <w:r w:rsidR="00437B6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规定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3B1F7D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3B1F7D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.6 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严禁参赛机器人污损场地。</w:t>
      </w:r>
    </w:p>
    <w:p w:rsidR="006774F3" w:rsidRPr="00812398" w:rsidRDefault="002661E6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五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、赛制及评分</w:t>
      </w:r>
    </w:p>
    <w:p w:rsidR="0011692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.1 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比赛场地数量依报名队伍数量而定，每支参赛队伍根据抽签顺序在指定比赛场地进行比赛。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A5088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果实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摆放方案产生办法：在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每个参赛队进入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正式比赛前</w:t>
      </w:r>
      <w:r w:rsidR="00A57A8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，由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现场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裁判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通过软件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随机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生成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比赛准备：每</w:t>
      </w:r>
      <w:r w:rsidR="003721A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个参赛</w:t>
      </w:r>
      <w:r w:rsidR="00A57A8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队</w:t>
      </w:r>
      <w:r w:rsidR="003721A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的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参赛机器人进入出发区有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3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分钟准备时间，用于对机器人</w:t>
      </w:r>
      <w:r w:rsidR="003721A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进行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简单调试。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4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比赛时间：裁判鸣哨比赛开始计时</w:t>
      </w:r>
      <w:r w:rsidR="00195CD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</w:t>
      </w:r>
      <w:r w:rsidR="00497D9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单轮</w:t>
      </w:r>
      <w:r w:rsidR="00060D80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</w:t>
      </w:r>
      <w:r w:rsidR="009E3E6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时间最长不超过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10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分钟</w:t>
      </w:r>
      <w:r w:rsidR="0017110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，超过</w:t>
      </w:r>
      <w:r w:rsidR="0017110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10</w:t>
      </w:r>
      <w:r w:rsidR="0017110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分钟的以</w:t>
      </w:r>
      <w:r w:rsidR="0017110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10</w:t>
      </w:r>
      <w:r w:rsidR="0017110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分钟时所处状态计分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116923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每支参赛队伍</w:t>
      </w:r>
      <w:r w:rsidR="003043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安排</w:t>
      </w:r>
      <w:r w:rsidR="00DC598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轮</w:t>
      </w:r>
      <w:r w:rsidR="003043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赛</w:t>
      </w:r>
      <w:r w:rsidR="00BB747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取最高分为每队的最终得分</w:t>
      </w:r>
      <w:r w:rsidR="0022021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。不同参赛队伍</w:t>
      </w:r>
      <w:r w:rsidR="0030432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得分相同时，以用时</w:t>
      </w:r>
      <w:r w:rsidR="0022021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短</w:t>
      </w:r>
      <w:r w:rsidR="00CE7D2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者为胜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B8721D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.6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</w:t>
      </w:r>
      <w:r w:rsidR="00405AE5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（包括可装卸的仓储部件）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必须从“停车区”出发且出发时参赛机器人</w:t>
      </w:r>
      <w:r w:rsidR="00405AE5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（包括可装卸的仓储部件）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必须整体位于该区域内；比赛过程中，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</w:t>
      </w:r>
      <w:r w:rsidR="00D53E0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（可装卸的仓储部件除外）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不得跨区作业，即从“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A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区”出发的机器人不得进入“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B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区”作业，从“</w:t>
      </w:r>
      <w:r w:rsidR="00244E1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B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区”出发的机器人不得进入“</w:t>
      </w:r>
      <w:r w:rsidR="00244E1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A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区”作业，否则将按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4.8</w:t>
      </w:r>
      <w:r w:rsidR="00244E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评分标准予以减分。</w:t>
      </w:r>
    </w:p>
    <w:p w:rsidR="0059581F" w:rsidRPr="00812398" w:rsidRDefault="002661E6" w:rsidP="0059581F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B8721D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.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7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比赛结束时，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参赛机器人应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返回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与出发区域相同的“停车区”，即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从“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A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区”出发的机器人</w:t>
      </w:r>
      <w:r w:rsidR="00D53E0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应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返回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“</w:t>
      </w:r>
      <w:r w:rsidR="0086501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A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</w:t>
      </w:r>
      <w:r w:rsidR="00830EC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任意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停车区，从“</w:t>
      </w:r>
      <w:r w:rsidR="0086501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B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lastRenderedPageBreak/>
        <w:t>出发的机器人</w:t>
      </w:r>
      <w:r w:rsidR="00D53E0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应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返回“</w:t>
      </w:r>
      <w:r w:rsidR="00865012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>B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区”</w:t>
      </w:r>
      <w:r w:rsidR="00830EC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任意</w:t>
      </w:r>
      <w:r w:rsidR="0086501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停车区，</w:t>
      </w:r>
      <w:r w:rsidR="00792F7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否则不可获得机器人转运分</w:t>
      </w:r>
      <w:r w:rsidR="0059581F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607B02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8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其他：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比赛期间，允许参赛</w:t>
      </w:r>
      <w:r w:rsidR="005D329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队伍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派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500AAD">
        <w:rPr>
          <w:rFonts w:ascii="黑体" w:eastAsia="黑体" w:hAnsi="黑体" w:hint="eastAsia"/>
          <w:color w:val="000000" w:themeColor="text1"/>
          <w:sz w:val="28"/>
          <w:szCs w:val="28"/>
        </w:rPr>
        <w:t>～</w:t>
      </w:r>
      <w:r w:rsidR="00500AAD"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名人员进入</w:t>
      </w:r>
      <w:r w:rsidR="005D329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赛区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内</w:t>
      </w:r>
      <w:r w:rsidR="005D3297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，以备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参赛机器人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异常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情况的紧急处置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，每处置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次计</w:t>
      </w:r>
      <w:r w:rsidR="00DC598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人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为修正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次</w:t>
      </w:r>
      <w:r w:rsidR="001A646A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；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比赛期间，各参赛队伍应派</w:t>
      </w:r>
      <w:r w:rsidR="00FA1E09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1A646A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名队员，对机器人的作业原理和作业过程进行现场讲解；其他未尽事宜由现场裁判裁定。</w:t>
      </w:r>
    </w:p>
    <w:p w:rsidR="006774F3" w:rsidRPr="00812398" w:rsidRDefault="002661E6" w:rsidP="007E0B5D">
      <w:pPr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5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</w:t>
      </w:r>
      <w:r w:rsidR="00B8721D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9</w:t>
      </w:r>
      <w:r w:rsidR="00CF6EA2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评分标准：</w:t>
      </w:r>
    </w:p>
    <w:tbl>
      <w:tblPr>
        <w:tblStyle w:val="af1"/>
        <w:tblW w:w="8522" w:type="dxa"/>
        <w:tblLayout w:type="fixed"/>
        <w:tblLook w:val="04A0" w:firstRow="1" w:lastRow="0" w:firstColumn="1" w:lastColumn="0" w:noHBand="0" w:noVBand="1"/>
      </w:tblPr>
      <w:tblGrid>
        <w:gridCol w:w="5211"/>
        <w:gridCol w:w="738"/>
        <w:gridCol w:w="567"/>
        <w:gridCol w:w="709"/>
        <w:gridCol w:w="567"/>
        <w:gridCol w:w="730"/>
      </w:tblGrid>
      <w:tr w:rsidR="006774F3" w:rsidRPr="00812398" w:rsidTr="00B8721D">
        <w:trPr>
          <w:trHeight w:val="567"/>
        </w:trPr>
        <w:tc>
          <w:tcPr>
            <w:tcW w:w="5211" w:type="dxa"/>
            <w:vAlign w:val="center"/>
          </w:tcPr>
          <w:p w:rsidR="006774F3" w:rsidRPr="00812398" w:rsidRDefault="00E54D5C" w:rsidP="009A5AE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轮次</w:t>
            </w: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参赛队伍编号</w:t>
            </w: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738" w:type="dxa"/>
            <w:vAlign w:val="center"/>
          </w:tcPr>
          <w:p w:rsidR="006774F3" w:rsidRPr="00812398" w:rsidRDefault="00E54D5C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6774F3" w:rsidRPr="00812398" w:rsidRDefault="006774F3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74F3" w:rsidRPr="00812398" w:rsidRDefault="00E54D5C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567" w:type="dxa"/>
            <w:vAlign w:val="center"/>
          </w:tcPr>
          <w:p w:rsidR="006774F3" w:rsidRPr="00812398" w:rsidRDefault="006774F3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774F3" w:rsidRPr="00812398" w:rsidRDefault="00E54D5C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小计</w:t>
            </w:r>
          </w:p>
        </w:tc>
      </w:tr>
      <w:tr w:rsidR="006774F3" w:rsidRPr="00812398" w:rsidTr="00B8721D">
        <w:trPr>
          <w:trHeight w:val="580"/>
        </w:trPr>
        <w:tc>
          <w:tcPr>
            <w:tcW w:w="5211" w:type="dxa"/>
            <w:vAlign w:val="center"/>
          </w:tcPr>
          <w:p w:rsidR="006774F3" w:rsidRPr="00812398" w:rsidRDefault="00DC598D" w:rsidP="000A0773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机器人</w:t>
            </w:r>
            <w:r w:rsidR="00FA1E09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收获</w:t>
            </w:r>
            <w:r w:rsidR="00E54D5C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分</w:t>
            </w:r>
          </w:p>
          <w:p w:rsidR="006774F3" w:rsidRPr="00812398" w:rsidRDefault="00E54D5C" w:rsidP="000A0773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（以结束时</w:t>
            </w:r>
            <w:r w:rsidR="00852A2A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整体</w:t>
            </w:r>
            <w:r w:rsidR="00F5709A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位于仓储区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</w:t>
            </w:r>
            <w:r w:rsidR="0036422B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红色</w:t>
            </w:r>
            <w:r w:rsidR="006E021D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果实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个数为准）</w:t>
            </w:r>
          </w:p>
        </w:tc>
        <w:tc>
          <w:tcPr>
            <w:tcW w:w="738" w:type="dxa"/>
            <w:vAlign w:val="center"/>
          </w:tcPr>
          <w:p w:rsidR="006774F3" w:rsidRPr="00812398" w:rsidRDefault="006774F3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774F3" w:rsidRPr="00812398" w:rsidRDefault="00E54D5C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6774F3" w:rsidRPr="00812398" w:rsidRDefault="00F2145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774F3" w:rsidRPr="00812398" w:rsidRDefault="00E54D5C" w:rsidP="00B8721D">
            <w:pPr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730" w:type="dxa"/>
            <w:vAlign w:val="center"/>
          </w:tcPr>
          <w:p w:rsidR="006774F3" w:rsidRPr="00812398" w:rsidRDefault="006774F3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CB1" w:rsidRPr="00812398" w:rsidTr="00B8721D">
        <w:trPr>
          <w:trHeight w:val="580"/>
        </w:trPr>
        <w:tc>
          <w:tcPr>
            <w:tcW w:w="5211" w:type="dxa"/>
            <w:vAlign w:val="center"/>
          </w:tcPr>
          <w:p w:rsidR="00B77CB1" w:rsidRPr="00812398" w:rsidRDefault="00B77CB1" w:rsidP="00B77CB1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收获损失分</w:t>
            </w:r>
          </w:p>
          <w:p w:rsidR="00B77CB1" w:rsidRPr="00812398" w:rsidRDefault="00B77CB1" w:rsidP="00B77CB1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（以</w:t>
            </w:r>
            <w:r w:rsidR="00852A2A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比赛过程中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果树上</w:t>
            </w:r>
            <w:r w:rsidR="00852A2A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脱落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的绿色果实个数为准）</w:t>
            </w:r>
          </w:p>
        </w:tc>
        <w:tc>
          <w:tcPr>
            <w:tcW w:w="738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4D2203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730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CB1" w:rsidRPr="00812398" w:rsidTr="00B8721D">
        <w:trPr>
          <w:trHeight w:val="580"/>
        </w:trPr>
        <w:tc>
          <w:tcPr>
            <w:tcW w:w="5211" w:type="dxa"/>
            <w:vAlign w:val="center"/>
          </w:tcPr>
          <w:p w:rsidR="00B77CB1" w:rsidRPr="00812398" w:rsidRDefault="00B77CB1" w:rsidP="00B77CB1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机器人转运分</w:t>
            </w:r>
          </w:p>
          <w:p w:rsidR="00B77CB1" w:rsidRPr="00812398" w:rsidRDefault="00B77CB1" w:rsidP="00244E12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（结束时每个参赛机器人</w:t>
            </w:r>
            <w:r w:rsidR="00244E12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按要求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进入</w:t>
            </w:r>
            <w:r w:rsidR="00B8721D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停车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区，且垂向投影均超过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50%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视为完成）</w:t>
            </w:r>
          </w:p>
        </w:tc>
        <w:tc>
          <w:tcPr>
            <w:tcW w:w="738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730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7CB1" w:rsidRPr="00812398" w:rsidTr="00B8721D">
        <w:trPr>
          <w:trHeight w:val="454"/>
        </w:trPr>
        <w:tc>
          <w:tcPr>
            <w:tcW w:w="5211" w:type="dxa"/>
            <w:vAlign w:val="center"/>
          </w:tcPr>
          <w:p w:rsidR="00B77CB1" w:rsidRPr="00812398" w:rsidRDefault="00B77CB1" w:rsidP="00B77CB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机器人作业过程人为修正（次）</w:t>
            </w:r>
          </w:p>
        </w:tc>
        <w:tc>
          <w:tcPr>
            <w:tcW w:w="738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567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730" w:type="dxa"/>
            <w:vAlign w:val="center"/>
          </w:tcPr>
          <w:p w:rsidR="00B77CB1" w:rsidRPr="00812398" w:rsidRDefault="00B77CB1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5211" w:type="dxa"/>
            <w:vAlign w:val="center"/>
          </w:tcPr>
          <w:p w:rsidR="009B53F7" w:rsidRPr="00812398" w:rsidRDefault="00244E12" w:rsidP="00B8721D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跨区作业</w:t>
            </w:r>
            <w:r w:rsidR="009B53F7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损失分</w:t>
            </w:r>
          </w:p>
          <w:p w:rsidR="009B53F7" w:rsidRPr="00812398" w:rsidRDefault="00B669ED" w:rsidP="00B669ED">
            <w:pPr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【</w:t>
            </w:r>
            <w:r w:rsidR="009B53F7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机器人任意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部分（可装卸的仓储部件除外）垂向投影位于分界线另一侧即视为</w:t>
            </w:r>
            <w:r w:rsidR="009B53F7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“</w:t>
            </w:r>
            <w:r w:rsidR="00244E12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跨区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作业</w:t>
            </w:r>
            <w:r w:rsidR="009B53F7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”</w:t>
            </w:r>
            <w:r w:rsidR="00852A2A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，扣分不累计，最多</w:t>
            </w:r>
            <w:r w:rsidR="007F5BE6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扣减</w:t>
            </w:r>
            <w:r w:rsidR="00852A2A"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7F5BE6"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】</w:t>
            </w:r>
          </w:p>
        </w:tc>
        <w:tc>
          <w:tcPr>
            <w:tcW w:w="738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9B53F7" w:rsidRPr="00812398" w:rsidRDefault="001A606C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="00852A2A"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5211" w:type="dxa"/>
            <w:vAlign w:val="center"/>
          </w:tcPr>
          <w:p w:rsidR="009B53F7" w:rsidRPr="00812398" w:rsidRDefault="009B53F7" w:rsidP="009B53F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果树损坏（树干移位即视为损坏）</w:t>
            </w:r>
          </w:p>
        </w:tc>
        <w:tc>
          <w:tcPr>
            <w:tcW w:w="738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-</w:t>
            </w:r>
            <w:r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5211" w:type="dxa"/>
            <w:vAlign w:val="center"/>
          </w:tcPr>
          <w:p w:rsidR="009B53F7" w:rsidRPr="00812398" w:rsidRDefault="009B53F7" w:rsidP="009B53F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海报制作</w:t>
            </w:r>
          </w:p>
        </w:tc>
        <w:tc>
          <w:tcPr>
            <w:tcW w:w="738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＝</w:t>
            </w: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5211" w:type="dxa"/>
            <w:vAlign w:val="center"/>
          </w:tcPr>
          <w:p w:rsidR="009B53F7" w:rsidRPr="00812398" w:rsidRDefault="009B53F7" w:rsidP="009B53F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机器人制作日志</w:t>
            </w:r>
          </w:p>
        </w:tc>
        <w:tc>
          <w:tcPr>
            <w:tcW w:w="738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5211" w:type="dxa"/>
            <w:vAlign w:val="center"/>
          </w:tcPr>
          <w:p w:rsidR="009B53F7" w:rsidRPr="00812398" w:rsidRDefault="009B53F7" w:rsidP="009B53F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现场讲解</w:t>
            </w:r>
          </w:p>
        </w:tc>
        <w:tc>
          <w:tcPr>
            <w:tcW w:w="738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×</w:t>
            </w:r>
          </w:p>
        </w:tc>
        <w:tc>
          <w:tcPr>
            <w:tcW w:w="709" w:type="dxa"/>
            <w:vAlign w:val="center"/>
          </w:tcPr>
          <w:p w:rsidR="009B53F7" w:rsidRPr="00812398" w:rsidRDefault="00BD01C0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B8721D">
        <w:trPr>
          <w:trHeight w:val="454"/>
        </w:trPr>
        <w:tc>
          <w:tcPr>
            <w:tcW w:w="7792" w:type="dxa"/>
            <w:gridSpan w:val="5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730" w:type="dxa"/>
            <w:vAlign w:val="center"/>
          </w:tcPr>
          <w:p w:rsidR="009B53F7" w:rsidRPr="00812398" w:rsidRDefault="009B53F7" w:rsidP="00B8721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3F7" w:rsidRPr="00812398" w:rsidTr="00C729DB">
        <w:trPr>
          <w:trHeight w:val="454"/>
        </w:trPr>
        <w:tc>
          <w:tcPr>
            <w:tcW w:w="8522" w:type="dxa"/>
            <w:gridSpan w:val="6"/>
            <w:vAlign w:val="center"/>
          </w:tcPr>
          <w:p w:rsidR="009B53F7" w:rsidRPr="00812398" w:rsidRDefault="009B53F7" w:rsidP="009B53F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完成比赛时间：</w:t>
            </w:r>
            <w:r w:rsidRPr="0081239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  <w:r w:rsidRPr="008123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123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（注：得分相同时，以用时短者为胜）</w:t>
            </w:r>
          </w:p>
        </w:tc>
      </w:tr>
    </w:tbl>
    <w:p w:rsidR="006774F3" w:rsidRPr="00812398" w:rsidRDefault="002661E6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六</w:t>
      </w:r>
      <w:r w:rsidR="00E54D5C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、海报和工作日志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6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.1 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每支参赛队伍需要提交</w:t>
      </w:r>
      <w:r w:rsidR="0038738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38738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份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包含机器人功能、设计原理、结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lastRenderedPageBreak/>
        <w:t>构特点的宣传海报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6774F3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6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.2</w:t>
      </w:r>
      <w:r w:rsidR="00310CBE" w:rsidRPr="00812398"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</w:t>
      </w:r>
      <w:r w:rsidR="0085410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每支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参赛队伍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须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大赛举办</w:t>
      </w:r>
      <w:r w:rsidR="00A57A8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前一周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将制作完成的海报电子版提交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至大赛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组委会，由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大赛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组委会审核并反馈意见。海报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印刷版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由</w:t>
      </w:r>
      <w:r w:rsidR="0085410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大赛组委会统一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制作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并于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大赛举办</w:t>
      </w:r>
      <w:r w:rsidR="00A57A86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当天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在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会场</w:t>
      </w:r>
      <w:r w:rsidR="00E26E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指定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区域完成海报张贴工作。</w:t>
      </w:r>
    </w:p>
    <w:p w:rsidR="00E73B98" w:rsidRPr="00812398" w:rsidRDefault="002661E6" w:rsidP="00816486">
      <w:pPr>
        <w:spacing w:line="440" w:lineRule="exact"/>
        <w:ind w:firstLineChars="200" w:firstLine="56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6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.3 </w:t>
      </w:r>
      <w:r w:rsidR="0085410E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每支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参赛队伍须提供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机器人制作日志</w:t>
      </w:r>
      <w:r w:rsidR="0038738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1</w:t>
      </w:r>
      <w:r w:rsidR="0038738B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份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。日志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要求记录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参赛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机器人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创新的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日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常工作</w:t>
      </w:r>
      <w:r w:rsidR="00E54D5C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情况</w:t>
      </w:r>
      <w:r w:rsidR="00E73B98" w:rsidRPr="00812398">
        <w:rPr>
          <w:rFonts w:ascii="Times New Roman" w:eastAsia="仿宋" w:hAnsi="Times New Roman" w:hint="eastAsia"/>
          <w:color w:val="000000" w:themeColor="text1"/>
          <w:sz w:val="28"/>
          <w:szCs w:val="28"/>
        </w:rPr>
        <w:t>。</w:t>
      </w:r>
    </w:p>
    <w:p w:rsidR="008E7FAB" w:rsidRPr="00812398" w:rsidRDefault="002661E6" w:rsidP="00112D2F">
      <w:pPr>
        <w:spacing w:beforeLines="50" w:before="156" w:afterLines="50" w:after="156" w:line="440" w:lineRule="exact"/>
        <w:rPr>
          <w:rFonts w:ascii="Times New Roman" w:eastAsia="仿宋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七</w:t>
      </w:r>
      <w:r w:rsidR="002C1622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、比赛所用材料参考购买</w:t>
      </w:r>
      <w:r w:rsidR="003A4215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链接</w:t>
      </w:r>
      <w:r w:rsidR="00B83F70" w:rsidRPr="00812398">
        <w:rPr>
          <w:rFonts w:ascii="Times New Roman" w:eastAsia="仿宋" w:hAnsi="Times New Roman" w:hint="eastAsia"/>
          <w:b/>
          <w:color w:val="000000" w:themeColor="text1"/>
          <w:sz w:val="28"/>
          <w:szCs w:val="28"/>
        </w:rPr>
        <w:t>清单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62"/>
      </w:tblGrid>
      <w:tr w:rsidR="007E0B5D" w:rsidRPr="00812398" w:rsidTr="007E0B5D">
        <w:tc>
          <w:tcPr>
            <w:tcW w:w="675" w:type="dxa"/>
          </w:tcPr>
          <w:p w:rsidR="007E0B5D" w:rsidRPr="00812398" w:rsidRDefault="007E0B5D" w:rsidP="007E0B5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985" w:type="dxa"/>
          </w:tcPr>
          <w:p w:rsidR="007E0B5D" w:rsidRPr="00812398" w:rsidRDefault="007E0B5D" w:rsidP="007E0B5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862" w:type="dxa"/>
          </w:tcPr>
          <w:p w:rsidR="007E0B5D" w:rsidRPr="00812398" w:rsidRDefault="007E0B5D" w:rsidP="007E0B5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参考购买链接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黑色条线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szCs w:val="21"/>
              </w:rPr>
              <w:t>https://item.jd.com/2458882.html</w:t>
            </w:r>
          </w:p>
        </w:tc>
      </w:tr>
      <w:tr w:rsidR="001616D3" w:rsidRPr="00812398" w:rsidTr="0085410E">
        <w:tc>
          <w:tcPr>
            <w:tcW w:w="675" w:type="dxa"/>
            <w:vAlign w:val="center"/>
          </w:tcPr>
          <w:p w:rsidR="001616D3" w:rsidRPr="00812398" w:rsidRDefault="001616D3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616D3" w:rsidRPr="00812398" w:rsidRDefault="001616D3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红、黄色条线</w:t>
            </w:r>
          </w:p>
        </w:tc>
        <w:tc>
          <w:tcPr>
            <w:tcW w:w="5862" w:type="dxa"/>
            <w:vAlign w:val="center"/>
          </w:tcPr>
          <w:p w:rsidR="001616D3" w:rsidRPr="00812398" w:rsidRDefault="001616D3" w:rsidP="007E0B5D">
            <w:pPr>
              <w:rPr>
                <w:rFonts w:ascii="Times New Roman" w:hAnsi="Times New Roman"/>
                <w:szCs w:val="21"/>
              </w:rPr>
            </w:pPr>
            <w:r w:rsidRPr="00812398">
              <w:rPr>
                <w:rFonts w:ascii="Times New Roman" w:hAnsi="Times New Roman"/>
                <w:szCs w:val="21"/>
              </w:rPr>
              <w:t>https://detail.tmall.com/item.htm?spm=a1z0d.6639537.1997196601.4.3aa07484BtLHqZ&amp;id=38196857703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果树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https://item.taobao.com/item.htm?id=548601446787&amp;_u=2pcpj47dc8e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强力胶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szCs w:val="21"/>
              </w:rPr>
              <w:t>https://detail.tmall.com/item.htm?spm=a230r.1.14.6.17a141af8dwgQD&amp;id=20223265902&amp;cm_id=140105335569ed55e27b&amp;abbucket=19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双面布基胶带（白色，宽度</w:t>
            </w: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0mm</w:t>
            </w: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https://detail.tmall.com/item.htm?spm=a220m.1000858.1000725.11.2bbb6261vSp5xg&amp;id=535455916269&amp;skuId=3626870578082&amp;user_id=2777020216&amp;cat_id=2&amp;is_b=1&amp;rn=d78800100e87700eb82e7a04bf9259da</w:t>
            </w:r>
          </w:p>
        </w:tc>
      </w:tr>
      <w:tr w:rsidR="007E0B5D" w:rsidRPr="00812398" w:rsidTr="00657594">
        <w:trPr>
          <w:trHeight w:val="128"/>
        </w:trPr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果实（乒乓球）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https://item.taobao.com/item.htm?id=540998887616&amp;ns=1&amp;abbucket=8#detail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大头针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https://detail.tmall.com/item.htm?id=13635779852&amp;spm=2014.21600712.0.0</w:t>
            </w:r>
          </w:p>
        </w:tc>
      </w:tr>
      <w:tr w:rsidR="007E0B5D" w:rsidRPr="00812398" w:rsidTr="0085410E">
        <w:tc>
          <w:tcPr>
            <w:tcW w:w="67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  <w:r w:rsidR="001616D3" w:rsidRPr="00812398"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7E0B5D" w:rsidRPr="00812398" w:rsidRDefault="007E0B5D" w:rsidP="0085410E">
            <w:pPr>
              <w:spacing w:beforeLines="50" w:before="156" w:afterLines="50" w:after="156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 w:hint="eastAsia"/>
                <w:color w:val="000000" w:themeColor="text1"/>
                <w:szCs w:val="21"/>
              </w:rPr>
              <w:t>磁铁（无孔）</w:t>
            </w:r>
          </w:p>
        </w:tc>
        <w:tc>
          <w:tcPr>
            <w:tcW w:w="5862" w:type="dxa"/>
            <w:vAlign w:val="center"/>
          </w:tcPr>
          <w:p w:rsidR="007E0B5D" w:rsidRPr="00812398" w:rsidRDefault="007E0B5D" w:rsidP="007E0B5D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812398">
              <w:rPr>
                <w:rFonts w:ascii="Times New Roman" w:hAnsi="Times New Roman"/>
                <w:color w:val="000000" w:themeColor="text1"/>
                <w:szCs w:val="21"/>
              </w:rPr>
              <w:t>https://item.taobao.com/item.htm?spm=a230r.1.14.20.a2372599xJV9wb&amp;id=548226355258&amp;ns=1&amp;abbucket=19#detail</w:t>
            </w:r>
          </w:p>
        </w:tc>
      </w:tr>
    </w:tbl>
    <w:p w:rsidR="008E7FAB" w:rsidRPr="00812398" w:rsidRDefault="008E7FAB" w:rsidP="007E0B5D">
      <w:pPr>
        <w:spacing w:beforeLines="50" w:before="156" w:afterLines="50" w:after="156"/>
        <w:rPr>
          <w:rFonts w:ascii="Times New Roman" w:eastAsia="仿宋" w:hAnsi="Times New Roman"/>
          <w:color w:val="000000" w:themeColor="text1"/>
          <w:sz w:val="28"/>
          <w:szCs w:val="28"/>
        </w:rPr>
      </w:pPr>
    </w:p>
    <w:sectPr w:rsidR="008E7FAB" w:rsidRPr="00812398" w:rsidSect="00B1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A3" w:rsidRDefault="00C479A3" w:rsidP="002F27AE">
      <w:r>
        <w:separator/>
      </w:r>
    </w:p>
  </w:endnote>
  <w:endnote w:type="continuationSeparator" w:id="0">
    <w:p w:rsidR="00C479A3" w:rsidRDefault="00C479A3" w:rsidP="002F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A3" w:rsidRDefault="00C479A3" w:rsidP="002F27AE">
      <w:r>
        <w:separator/>
      </w:r>
    </w:p>
  </w:footnote>
  <w:footnote w:type="continuationSeparator" w:id="0">
    <w:p w:rsidR="00C479A3" w:rsidRDefault="00C479A3" w:rsidP="002F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5658"/>
    <w:multiLevelType w:val="hybridMultilevel"/>
    <w:tmpl w:val="80B063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B0"/>
    <w:rsid w:val="000251B0"/>
    <w:rsid w:val="00037366"/>
    <w:rsid w:val="000427C0"/>
    <w:rsid w:val="000474F3"/>
    <w:rsid w:val="000511AF"/>
    <w:rsid w:val="0005248E"/>
    <w:rsid w:val="00060D80"/>
    <w:rsid w:val="00065EFB"/>
    <w:rsid w:val="00066E8D"/>
    <w:rsid w:val="00067C8E"/>
    <w:rsid w:val="00072C79"/>
    <w:rsid w:val="00074E2D"/>
    <w:rsid w:val="000A0773"/>
    <w:rsid w:val="000A16C2"/>
    <w:rsid w:val="000A689D"/>
    <w:rsid w:val="000B279A"/>
    <w:rsid w:val="000B4369"/>
    <w:rsid w:val="000B6257"/>
    <w:rsid w:val="000C07FB"/>
    <w:rsid w:val="000C2234"/>
    <w:rsid w:val="000C42FB"/>
    <w:rsid w:val="000C509B"/>
    <w:rsid w:val="000C68C7"/>
    <w:rsid w:val="000C76CC"/>
    <w:rsid w:val="001125B0"/>
    <w:rsid w:val="00112AEE"/>
    <w:rsid w:val="00112D2F"/>
    <w:rsid w:val="00114636"/>
    <w:rsid w:val="00115114"/>
    <w:rsid w:val="00116447"/>
    <w:rsid w:val="00116923"/>
    <w:rsid w:val="00120B64"/>
    <w:rsid w:val="00122DCC"/>
    <w:rsid w:val="00127019"/>
    <w:rsid w:val="00127AEF"/>
    <w:rsid w:val="0014479C"/>
    <w:rsid w:val="00147B19"/>
    <w:rsid w:val="00150EE8"/>
    <w:rsid w:val="00151BB6"/>
    <w:rsid w:val="001616D3"/>
    <w:rsid w:val="00163229"/>
    <w:rsid w:val="0017110D"/>
    <w:rsid w:val="001913EF"/>
    <w:rsid w:val="00195CDF"/>
    <w:rsid w:val="001A3524"/>
    <w:rsid w:val="001A5F55"/>
    <w:rsid w:val="001A606C"/>
    <w:rsid w:val="001A646A"/>
    <w:rsid w:val="001B454F"/>
    <w:rsid w:val="001C0990"/>
    <w:rsid w:val="001C30F3"/>
    <w:rsid w:val="001E0A8F"/>
    <w:rsid w:val="001E1844"/>
    <w:rsid w:val="001E6146"/>
    <w:rsid w:val="001F0900"/>
    <w:rsid w:val="00205CCE"/>
    <w:rsid w:val="00207664"/>
    <w:rsid w:val="002078E3"/>
    <w:rsid w:val="00207AB2"/>
    <w:rsid w:val="00212408"/>
    <w:rsid w:val="00213C86"/>
    <w:rsid w:val="00220216"/>
    <w:rsid w:val="00220866"/>
    <w:rsid w:val="002378F9"/>
    <w:rsid w:val="00237D9A"/>
    <w:rsid w:val="00240A6C"/>
    <w:rsid w:val="00240BAB"/>
    <w:rsid w:val="00243BD8"/>
    <w:rsid w:val="00244E12"/>
    <w:rsid w:val="002465AA"/>
    <w:rsid w:val="002661E6"/>
    <w:rsid w:val="00270CE0"/>
    <w:rsid w:val="00270CF0"/>
    <w:rsid w:val="00273FAC"/>
    <w:rsid w:val="002767DD"/>
    <w:rsid w:val="00290608"/>
    <w:rsid w:val="00291DF3"/>
    <w:rsid w:val="00292C22"/>
    <w:rsid w:val="00294B52"/>
    <w:rsid w:val="002A0A6F"/>
    <w:rsid w:val="002B2122"/>
    <w:rsid w:val="002B2941"/>
    <w:rsid w:val="002B3BA4"/>
    <w:rsid w:val="002C1622"/>
    <w:rsid w:val="002E40D8"/>
    <w:rsid w:val="002E4760"/>
    <w:rsid w:val="002E6C28"/>
    <w:rsid w:val="002F0CA3"/>
    <w:rsid w:val="002F2302"/>
    <w:rsid w:val="002F27AE"/>
    <w:rsid w:val="0030432B"/>
    <w:rsid w:val="00310CBE"/>
    <w:rsid w:val="00312DA2"/>
    <w:rsid w:val="003275C5"/>
    <w:rsid w:val="003320E5"/>
    <w:rsid w:val="00333FF6"/>
    <w:rsid w:val="00337AED"/>
    <w:rsid w:val="00340877"/>
    <w:rsid w:val="003509A5"/>
    <w:rsid w:val="0036422B"/>
    <w:rsid w:val="003713C9"/>
    <w:rsid w:val="003721AE"/>
    <w:rsid w:val="0037407C"/>
    <w:rsid w:val="00376E4B"/>
    <w:rsid w:val="00382AFF"/>
    <w:rsid w:val="00382F4D"/>
    <w:rsid w:val="003841E8"/>
    <w:rsid w:val="0038738B"/>
    <w:rsid w:val="003950A6"/>
    <w:rsid w:val="00397E91"/>
    <w:rsid w:val="003A4215"/>
    <w:rsid w:val="003A61D4"/>
    <w:rsid w:val="003B1F7D"/>
    <w:rsid w:val="003B29EF"/>
    <w:rsid w:val="003C14D0"/>
    <w:rsid w:val="003C24B3"/>
    <w:rsid w:val="003C590A"/>
    <w:rsid w:val="003D14FA"/>
    <w:rsid w:val="003D3DF3"/>
    <w:rsid w:val="003E153E"/>
    <w:rsid w:val="003E6F35"/>
    <w:rsid w:val="003F35B7"/>
    <w:rsid w:val="003F59FD"/>
    <w:rsid w:val="00405AE5"/>
    <w:rsid w:val="00410526"/>
    <w:rsid w:val="0041123D"/>
    <w:rsid w:val="00413189"/>
    <w:rsid w:val="00416C6D"/>
    <w:rsid w:val="00416F5D"/>
    <w:rsid w:val="00433FE6"/>
    <w:rsid w:val="00436906"/>
    <w:rsid w:val="00437B62"/>
    <w:rsid w:val="00474E01"/>
    <w:rsid w:val="0047776D"/>
    <w:rsid w:val="0048324E"/>
    <w:rsid w:val="00497D9C"/>
    <w:rsid w:val="004A232E"/>
    <w:rsid w:val="004A5229"/>
    <w:rsid w:val="004B07BD"/>
    <w:rsid w:val="004B481C"/>
    <w:rsid w:val="004B5E26"/>
    <w:rsid w:val="004B5FCF"/>
    <w:rsid w:val="004B730F"/>
    <w:rsid w:val="004C2305"/>
    <w:rsid w:val="004D2199"/>
    <w:rsid w:val="004D2203"/>
    <w:rsid w:val="004D3531"/>
    <w:rsid w:val="004D7DEB"/>
    <w:rsid w:val="004E784B"/>
    <w:rsid w:val="004F6F17"/>
    <w:rsid w:val="004F76DD"/>
    <w:rsid w:val="00500AAD"/>
    <w:rsid w:val="0050293B"/>
    <w:rsid w:val="00504F3C"/>
    <w:rsid w:val="0050594F"/>
    <w:rsid w:val="00515300"/>
    <w:rsid w:val="00520181"/>
    <w:rsid w:val="0052157A"/>
    <w:rsid w:val="005353DF"/>
    <w:rsid w:val="00535720"/>
    <w:rsid w:val="00541290"/>
    <w:rsid w:val="00555397"/>
    <w:rsid w:val="00583418"/>
    <w:rsid w:val="00585CD3"/>
    <w:rsid w:val="00586F79"/>
    <w:rsid w:val="0059581F"/>
    <w:rsid w:val="005A0E5E"/>
    <w:rsid w:val="005A33B2"/>
    <w:rsid w:val="005D1EED"/>
    <w:rsid w:val="005D3297"/>
    <w:rsid w:val="005D3CA4"/>
    <w:rsid w:val="005D40BF"/>
    <w:rsid w:val="005D7926"/>
    <w:rsid w:val="00607B02"/>
    <w:rsid w:val="006138DE"/>
    <w:rsid w:val="00617B02"/>
    <w:rsid w:val="006436E7"/>
    <w:rsid w:val="006503FC"/>
    <w:rsid w:val="006522DF"/>
    <w:rsid w:val="00657594"/>
    <w:rsid w:val="00663486"/>
    <w:rsid w:val="00663EA4"/>
    <w:rsid w:val="00674E75"/>
    <w:rsid w:val="006774F3"/>
    <w:rsid w:val="00682529"/>
    <w:rsid w:val="0069293E"/>
    <w:rsid w:val="006956DE"/>
    <w:rsid w:val="006C4ABF"/>
    <w:rsid w:val="006E021D"/>
    <w:rsid w:val="006F19ED"/>
    <w:rsid w:val="006F3E8E"/>
    <w:rsid w:val="006F4A85"/>
    <w:rsid w:val="00705124"/>
    <w:rsid w:val="007101BE"/>
    <w:rsid w:val="00717289"/>
    <w:rsid w:val="007200D2"/>
    <w:rsid w:val="00721E33"/>
    <w:rsid w:val="00736AB4"/>
    <w:rsid w:val="0075130A"/>
    <w:rsid w:val="00751671"/>
    <w:rsid w:val="0075188F"/>
    <w:rsid w:val="00764E91"/>
    <w:rsid w:val="00767800"/>
    <w:rsid w:val="00784BB8"/>
    <w:rsid w:val="0078680A"/>
    <w:rsid w:val="00792F7E"/>
    <w:rsid w:val="0079619D"/>
    <w:rsid w:val="007D2236"/>
    <w:rsid w:val="007D3272"/>
    <w:rsid w:val="007E0B5D"/>
    <w:rsid w:val="007F4A66"/>
    <w:rsid w:val="007F5BE6"/>
    <w:rsid w:val="008106E3"/>
    <w:rsid w:val="00812398"/>
    <w:rsid w:val="008132C1"/>
    <w:rsid w:val="00816486"/>
    <w:rsid w:val="00816CA3"/>
    <w:rsid w:val="008278EF"/>
    <w:rsid w:val="00827E4B"/>
    <w:rsid w:val="00830ECB"/>
    <w:rsid w:val="008324A9"/>
    <w:rsid w:val="00837D7F"/>
    <w:rsid w:val="00840389"/>
    <w:rsid w:val="00840898"/>
    <w:rsid w:val="00841C75"/>
    <w:rsid w:val="00852A2A"/>
    <w:rsid w:val="0085410E"/>
    <w:rsid w:val="00862709"/>
    <w:rsid w:val="00863C7B"/>
    <w:rsid w:val="00865012"/>
    <w:rsid w:val="008932ED"/>
    <w:rsid w:val="008B63F6"/>
    <w:rsid w:val="008C0417"/>
    <w:rsid w:val="008C269F"/>
    <w:rsid w:val="008C2D2B"/>
    <w:rsid w:val="008C33F8"/>
    <w:rsid w:val="008D698B"/>
    <w:rsid w:val="008E0A57"/>
    <w:rsid w:val="008E16BF"/>
    <w:rsid w:val="008E2F1A"/>
    <w:rsid w:val="008E7F02"/>
    <w:rsid w:val="008E7FAB"/>
    <w:rsid w:val="008F00B0"/>
    <w:rsid w:val="00904159"/>
    <w:rsid w:val="009059EA"/>
    <w:rsid w:val="00920978"/>
    <w:rsid w:val="00920A42"/>
    <w:rsid w:val="00920C1B"/>
    <w:rsid w:val="0092106B"/>
    <w:rsid w:val="00927E3D"/>
    <w:rsid w:val="00932548"/>
    <w:rsid w:val="0094691D"/>
    <w:rsid w:val="00946D12"/>
    <w:rsid w:val="00947909"/>
    <w:rsid w:val="00950857"/>
    <w:rsid w:val="00951CEE"/>
    <w:rsid w:val="009533FE"/>
    <w:rsid w:val="00971955"/>
    <w:rsid w:val="0097601D"/>
    <w:rsid w:val="00977E8B"/>
    <w:rsid w:val="00994D70"/>
    <w:rsid w:val="009A09A4"/>
    <w:rsid w:val="009A5AE7"/>
    <w:rsid w:val="009B334A"/>
    <w:rsid w:val="009B4649"/>
    <w:rsid w:val="009B53F7"/>
    <w:rsid w:val="009C1246"/>
    <w:rsid w:val="009C2429"/>
    <w:rsid w:val="009D2446"/>
    <w:rsid w:val="009E3E67"/>
    <w:rsid w:val="009E78AA"/>
    <w:rsid w:val="00A15878"/>
    <w:rsid w:val="00A2309D"/>
    <w:rsid w:val="00A2528B"/>
    <w:rsid w:val="00A400EB"/>
    <w:rsid w:val="00A46665"/>
    <w:rsid w:val="00A50889"/>
    <w:rsid w:val="00A57A86"/>
    <w:rsid w:val="00A61A3E"/>
    <w:rsid w:val="00A753D9"/>
    <w:rsid w:val="00A75EA4"/>
    <w:rsid w:val="00AA71B0"/>
    <w:rsid w:val="00AC53F4"/>
    <w:rsid w:val="00AC5664"/>
    <w:rsid w:val="00AD57F1"/>
    <w:rsid w:val="00AE2407"/>
    <w:rsid w:val="00AF1F9D"/>
    <w:rsid w:val="00B145A1"/>
    <w:rsid w:val="00B14935"/>
    <w:rsid w:val="00B24399"/>
    <w:rsid w:val="00B438B3"/>
    <w:rsid w:val="00B4652E"/>
    <w:rsid w:val="00B5117E"/>
    <w:rsid w:val="00B564C4"/>
    <w:rsid w:val="00B62A0D"/>
    <w:rsid w:val="00B62F51"/>
    <w:rsid w:val="00B6380F"/>
    <w:rsid w:val="00B669ED"/>
    <w:rsid w:val="00B70791"/>
    <w:rsid w:val="00B73BCE"/>
    <w:rsid w:val="00B75E81"/>
    <w:rsid w:val="00B76804"/>
    <w:rsid w:val="00B77CB1"/>
    <w:rsid w:val="00B83F70"/>
    <w:rsid w:val="00B8721D"/>
    <w:rsid w:val="00B9602F"/>
    <w:rsid w:val="00BA6E08"/>
    <w:rsid w:val="00BB36EB"/>
    <w:rsid w:val="00BB747E"/>
    <w:rsid w:val="00BB7890"/>
    <w:rsid w:val="00BC11B2"/>
    <w:rsid w:val="00BC532A"/>
    <w:rsid w:val="00BD01C0"/>
    <w:rsid w:val="00BF59F1"/>
    <w:rsid w:val="00C01810"/>
    <w:rsid w:val="00C03FE3"/>
    <w:rsid w:val="00C10330"/>
    <w:rsid w:val="00C1363E"/>
    <w:rsid w:val="00C14F8C"/>
    <w:rsid w:val="00C15934"/>
    <w:rsid w:val="00C21E84"/>
    <w:rsid w:val="00C31FC0"/>
    <w:rsid w:val="00C32C46"/>
    <w:rsid w:val="00C374CD"/>
    <w:rsid w:val="00C479A3"/>
    <w:rsid w:val="00C579AD"/>
    <w:rsid w:val="00C635E4"/>
    <w:rsid w:val="00C63C25"/>
    <w:rsid w:val="00C669D6"/>
    <w:rsid w:val="00C729DB"/>
    <w:rsid w:val="00C778BB"/>
    <w:rsid w:val="00C90D23"/>
    <w:rsid w:val="00C916F4"/>
    <w:rsid w:val="00C92828"/>
    <w:rsid w:val="00C94F5F"/>
    <w:rsid w:val="00C97B9B"/>
    <w:rsid w:val="00CB3C37"/>
    <w:rsid w:val="00CB4E26"/>
    <w:rsid w:val="00CC1B0D"/>
    <w:rsid w:val="00CE124F"/>
    <w:rsid w:val="00CE4032"/>
    <w:rsid w:val="00CE725A"/>
    <w:rsid w:val="00CE7D2D"/>
    <w:rsid w:val="00CF4CA0"/>
    <w:rsid w:val="00CF6EA2"/>
    <w:rsid w:val="00CF7EC2"/>
    <w:rsid w:val="00D06C66"/>
    <w:rsid w:val="00D06D7D"/>
    <w:rsid w:val="00D07576"/>
    <w:rsid w:val="00D2014E"/>
    <w:rsid w:val="00D22C40"/>
    <w:rsid w:val="00D25459"/>
    <w:rsid w:val="00D327D7"/>
    <w:rsid w:val="00D45191"/>
    <w:rsid w:val="00D50005"/>
    <w:rsid w:val="00D53E0F"/>
    <w:rsid w:val="00D6009E"/>
    <w:rsid w:val="00D674BA"/>
    <w:rsid w:val="00D92F93"/>
    <w:rsid w:val="00D93521"/>
    <w:rsid w:val="00DA3370"/>
    <w:rsid w:val="00DA7FCF"/>
    <w:rsid w:val="00DC598D"/>
    <w:rsid w:val="00DC71D0"/>
    <w:rsid w:val="00DE7456"/>
    <w:rsid w:val="00DF1379"/>
    <w:rsid w:val="00DF46D9"/>
    <w:rsid w:val="00E0030B"/>
    <w:rsid w:val="00E05BC5"/>
    <w:rsid w:val="00E1066A"/>
    <w:rsid w:val="00E11C82"/>
    <w:rsid w:val="00E26E98"/>
    <w:rsid w:val="00E31792"/>
    <w:rsid w:val="00E36153"/>
    <w:rsid w:val="00E371D3"/>
    <w:rsid w:val="00E518AE"/>
    <w:rsid w:val="00E54D5C"/>
    <w:rsid w:val="00E6089A"/>
    <w:rsid w:val="00E64745"/>
    <w:rsid w:val="00E659C4"/>
    <w:rsid w:val="00E66B38"/>
    <w:rsid w:val="00E72229"/>
    <w:rsid w:val="00E73B98"/>
    <w:rsid w:val="00E857B1"/>
    <w:rsid w:val="00E92FF9"/>
    <w:rsid w:val="00E97163"/>
    <w:rsid w:val="00EA1F3C"/>
    <w:rsid w:val="00EA545A"/>
    <w:rsid w:val="00EA749E"/>
    <w:rsid w:val="00EB7FCC"/>
    <w:rsid w:val="00EC1237"/>
    <w:rsid w:val="00ED2916"/>
    <w:rsid w:val="00ED445C"/>
    <w:rsid w:val="00EF694D"/>
    <w:rsid w:val="00F15B8B"/>
    <w:rsid w:val="00F1608C"/>
    <w:rsid w:val="00F175E4"/>
    <w:rsid w:val="00F20E7B"/>
    <w:rsid w:val="00F21451"/>
    <w:rsid w:val="00F5709A"/>
    <w:rsid w:val="00F63757"/>
    <w:rsid w:val="00F65371"/>
    <w:rsid w:val="00F724E8"/>
    <w:rsid w:val="00F73466"/>
    <w:rsid w:val="00F9157B"/>
    <w:rsid w:val="00FA1E09"/>
    <w:rsid w:val="00FB7EC0"/>
    <w:rsid w:val="00FD3491"/>
    <w:rsid w:val="00FD3574"/>
    <w:rsid w:val="00FD5102"/>
    <w:rsid w:val="00FE7B44"/>
    <w:rsid w:val="00FF2EDF"/>
    <w:rsid w:val="00FF41EA"/>
    <w:rsid w:val="00FF542B"/>
    <w:rsid w:val="097326E6"/>
    <w:rsid w:val="0C2632A1"/>
    <w:rsid w:val="0CF25F12"/>
    <w:rsid w:val="114A0875"/>
    <w:rsid w:val="17157610"/>
    <w:rsid w:val="171E0273"/>
    <w:rsid w:val="2553211F"/>
    <w:rsid w:val="27420256"/>
    <w:rsid w:val="2AC37320"/>
    <w:rsid w:val="422632B1"/>
    <w:rsid w:val="42C003F5"/>
    <w:rsid w:val="5276710D"/>
    <w:rsid w:val="563D4FB3"/>
    <w:rsid w:val="580911EB"/>
    <w:rsid w:val="5C7D7740"/>
    <w:rsid w:val="5C9A7652"/>
    <w:rsid w:val="6BEF343D"/>
    <w:rsid w:val="6DAD1E3C"/>
    <w:rsid w:val="72146A4E"/>
    <w:rsid w:val="7F3725BC"/>
    <w:rsid w:val="7F3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658DD"/>
  <w15:docId w15:val="{2B52337A-8FE8-49BF-BA94-E2586ED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B14935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B14935"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sid w:val="00B14935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qFormat/>
    <w:rsid w:val="00B1493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B14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B14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rsid w:val="00B14935"/>
    <w:rPr>
      <w:sz w:val="24"/>
    </w:rPr>
  </w:style>
  <w:style w:type="character" w:styleId="af0">
    <w:name w:val="annotation reference"/>
    <w:basedOn w:val="a0"/>
    <w:uiPriority w:val="99"/>
    <w:semiHidden/>
    <w:unhideWhenUsed/>
    <w:qFormat/>
    <w:rsid w:val="00B14935"/>
    <w:rPr>
      <w:sz w:val="21"/>
      <w:szCs w:val="21"/>
    </w:rPr>
  </w:style>
  <w:style w:type="table" w:styleId="af1">
    <w:name w:val="Table Grid"/>
    <w:basedOn w:val="a1"/>
    <w:uiPriority w:val="59"/>
    <w:qFormat/>
    <w:rsid w:val="00B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14935"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sid w:val="00B14935"/>
    <w:rPr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qFormat/>
    <w:rsid w:val="00B14935"/>
    <w:rPr>
      <w:rFonts w:ascii="宋体" w:eastAsia="宋体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B14935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B14935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B14935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sid w:val="00B14935"/>
    <w:rPr>
      <w:b/>
      <w:bCs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FD357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8E7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718E6-97C2-4E84-B9FA-45561EE9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6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chendu</cp:lastModifiedBy>
  <cp:revision>122</cp:revision>
  <cp:lastPrinted>2019-05-04T01:47:00Z</cp:lastPrinted>
  <dcterms:created xsi:type="dcterms:W3CDTF">2018-04-18T05:52:00Z</dcterms:created>
  <dcterms:modified xsi:type="dcterms:W3CDTF">2019-05-27T01:23:00Z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